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00" w:line="276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الخطبة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نحمد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ونشكره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نعمة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إكمال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وإتمام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النعمة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والهداية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للإسلام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00" w:line="276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يفرح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بأداء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فريضة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00" w:line="276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الأضحية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أفضل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يتقرب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200" w:line="276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الصالحة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يتقرب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تبارك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الأرحام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وإصلاح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والإكثار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3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4"/>
        <w:gridCol w:w="2172"/>
        <w:tblGridChange w:id="0">
          <w:tblGrid>
            <w:gridCol w:w="6224"/>
            <w:gridCol w:w="217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line="240" w:lineRule="auto"/>
              <w:jc w:val="center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فهرس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jc w:val="center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jc w:val="center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السورة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ورقمها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﴿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يت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ً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[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المائدة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: 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﴿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ُّ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آ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الل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َّ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وت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َّ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َ﴾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[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آل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عمران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ff0000"/>
                <w:sz w:val="32"/>
                <w:szCs w:val="32"/>
                <w:rtl w:val="1"/>
              </w:rPr>
              <w:t xml:space="preserve">: 102]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﴿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﴾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[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يونس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: 58]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﴿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ائ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﴾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[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الحج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:36]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﴿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ٰ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غ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ٍ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ٍ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غ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ٰ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انظ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ٰ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ؤ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ؤ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ٍ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ٍ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آخ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ٰ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ؤ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ًّ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ٰ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ٌ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﴾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[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الصافات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: 99-113].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﴿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آب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ً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آت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آخ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ٍ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آت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آخ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ئ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﴾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[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البقرة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: 200-202]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﴿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0"/>
              </w:rPr>
              <w:t xml:space="preserve">﴾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[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العنكبوت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32"/>
                <w:szCs w:val="32"/>
                <w:rtl w:val="1"/>
              </w:rPr>
              <w:t xml:space="preserve">: 45]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52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87"/>
        <w:gridCol w:w="2235"/>
        <w:tblGridChange w:id="0">
          <w:tblGrid>
            <w:gridCol w:w="6287"/>
            <w:gridCol w:w="223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240" w:lineRule="auto"/>
              <w:jc w:val="center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فهرس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الأحاديث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0"/>
              </w:rPr>
              <w:t xml:space="preserve">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آد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ٍ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ٍ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الأر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ً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»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رواه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النسائي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متفق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عليه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زيد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رقم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قلت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: "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؟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سنة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أبيكم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؟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فالصوف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؟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الص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ُّ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وف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رواه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أحمد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b050"/>
                <w:sz w:val="32"/>
                <w:szCs w:val="32"/>
                <w:rtl w:val="1"/>
              </w:rPr>
              <w:t xml:space="preserve">قال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تبارك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وتعالى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أنا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وأنا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الرحمن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خلقت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وشققت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لها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اسمي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فمن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وصلها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وصلته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قطعها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بت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ُّ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رواه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الترمذي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ألا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أخبركم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بأفضل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درجة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الصيام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والصدقة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والصلاة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؟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قال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قلنا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بلى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قال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: "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إصلاح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ذات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وفساد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ذات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هي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الحالقة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رواه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الترمذي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أبي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هريرة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قال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قال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رسول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صلى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وسلم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: "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إن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عز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ّ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وجل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ّ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يقول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يوم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القيامة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ابن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آدم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مرضت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فلم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تعدني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قال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رب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ّ،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أعودك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؟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وأنت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رب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العالمين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..."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ff0000"/>
                <w:sz w:val="28"/>
                <w:szCs w:val="28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240" w:lineRule="auto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رواه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b050"/>
                <w:sz w:val="32"/>
                <w:szCs w:val="32"/>
                <w:rtl w:val="1"/>
              </w:rPr>
              <w:t xml:space="preserve">مسلم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bidi w:val="1"/>
        <w:spacing w:after="200" w:line="276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200" w:line="276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ملخص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الخطبة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bidi w:val="1"/>
        <w:spacing w:after="200" w:line="276" w:lineRule="auto"/>
        <w:ind w:left="720" w:hanging="36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الأضحى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المبارك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وسرور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تمتلئ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أيامنا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اعات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والبركات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وصلة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الأرحام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وسائر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ويفرح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المسلمون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بأدائهم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لفريضة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موسم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إعلاء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وظهور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بمظهر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الوحدة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المنشودة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bidi w:val="1"/>
        <w:spacing w:after="200" w:line="276" w:lineRule="auto"/>
        <w:ind w:left="720" w:hanging="36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يكثر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التكبير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والتحميد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والتهليل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الأيام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المباركة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أهله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لتعمهم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البركة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والرحمة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والطرقات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وعقب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الصلوات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المساجد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لإعلاء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bidi w:val="1"/>
        <w:spacing w:after="200" w:line="276" w:lineRule="auto"/>
        <w:ind w:left="720" w:hanging="36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الأضحية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مندوب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مستحب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تحمله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التضحية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والفداء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ترمز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الاستسلام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والانقياد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لأوامره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الأجر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بعدد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شعرها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وصوفها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bidi w:val="1"/>
        <w:spacing w:after="200" w:line="276" w:lineRule="auto"/>
        <w:ind w:left="720" w:hanging="36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المبارك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فرصة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لصلة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الأرحام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والتراحم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والتواصل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والأقارب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والجيران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والأصدقاء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أخلاق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الحميدة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دعا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200" w:line="276" w:lineRule="auto"/>
        <w:ind w:left="360" w:firstLine="0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المبارك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200" w:line="276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</w:p>
    <w:p w:rsidR="00000000" w:rsidDel="00000000" w:rsidP="00000000" w:rsidRDefault="00000000" w:rsidRPr="00000000" w14:paraId="00000030">
      <w:pPr>
        <w:bidi w:val="1"/>
        <w:spacing w:after="200" w:line="276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</w:p>
    <w:p w:rsidR="00000000" w:rsidDel="00000000" w:rsidP="00000000" w:rsidRDefault="00000000" w:rsidRPr="00000000" w14:paraId="00000031">
      <w:pPr>
        <w:bidi w:val="1"/>
        <w:spacing w:after="200" w:line="276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</w:p>
    <w:p w:rsidR="00000000" w:rsidDel="00000000" w:rsidP="00000000" w:rsidRDefault="00000000" w:rsidRPr="00000000" w14:paraId="00000032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نعمته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وأكمل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وهدانا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للإيمان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﴿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﴾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[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المائدة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: 3].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color w:val="ff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هدانا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لنهتدي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هدانا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وأشهد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شريك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وأشهد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سيدنا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ونبينا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عبده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ورسوله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﴿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آ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[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آل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عمران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: 102]. </w:t>
      </w:r>
    </w:p>
    <w:p w:rsidR="00000000" w:rsidDel="00000000" w:rsidP="00000000" w:rsidRDefault="00000000" w:rsidRPr="00000000" w14:paraId="00000034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أوصيكم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بتقوى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العظيم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وطاعته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5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color w:val="ff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الأضحى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المبارك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وسرور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تمتلئ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أيامنا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اعات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والبركات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وصلة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الأرحام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وسائر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يفرح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المسلمون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بأدائهم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لشعيرة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أعظم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فرائض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فريضة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موسم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إعلاء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وظهور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بمظهر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الوحدة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المنشودة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الإخوة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وعبادة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فالفرح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مطلوب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ومندوب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لقوله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تبارك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﴿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﴾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[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يونس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: 58].</w:t>
      </w:r>
    </w:p>
    <w:p w:rsidR="00000000" w:rsidDel="00000000" w:rsidP="00000000" w:rsidRDefault="00000000" w:rsidRPr="00000000" w14:paraId="00000036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color w:val="ff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الصالحة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يتقر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تبارك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المبارك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الإكثار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الحجاج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قضوا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مناسكهم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يكثروا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﴿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آب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آت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آخ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آت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آخ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ئ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﴾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[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البقرة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: 200-202]،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يكثر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التكبير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والتحميد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والتهليل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الأيام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المباركة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أهله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لتعمهم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البركة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والرحمة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والطرقات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وعقب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الصلوات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المساجد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لإعلاء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﴿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اة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﴾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[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العنكبوت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: 45].</w:t>
      </w:r>
    </w:p>
    <w:p w:rsidR="00000000" w:rsidDel="00000000" w:rsidP="00000000" w:rsidRDefault="00000000" w:rsidRPr="00000000" w14:paraId="00000037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color w:val="00b05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المندوبة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المستحب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يتقر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ذبح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الأضحية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اتفق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جمهور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مؤكدة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ِ،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ِ،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»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a6a6a6"/>
          <w:sz w:val="32"/>
          <w:szCs w:val="32"/>
          <w:rtl w:val="1"/>
        </w:rPr>
        <w:t xml:space="preserve">متفق</w:t>
      </w:r>
      <w:r w:rsidDel="00000000" w:rsidR="00000000" w:rsidRPr="00000000">
        <w:rPr>
          <w:rFonts w:ascii="Simplified Arabic" w:cs="Simplified Arabic" w:eastAsia="Simplified Arabic" w:hAnsi="Simplified Arabic"/>
          <w:color w:val="a6a6a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a6a6a6"/>
          <w:sz w:val="32"/>
          <w:szCs w:val="32"/>
          <w:rtl w:val="1"/>
        </w:rPr>
        <w:t xml:space="preserve">عليه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أجر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الأضحية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خيرا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بتركها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قادرا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عائشة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«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آد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ِ،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ظ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لاف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الأر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ِ،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»</w:t>
      </w:r>
      <w:r w:rsidDel="00000000" w:rsidR="00000000" w:rsidRPr="00000000">
        <w:rPr>
          <w:rFonts w:ascii="Calibri" w:cs="Calibri" w:eastAsia="Calibri" w:hAnsi="Calibri"/>
          <w:color w:val="00b050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النسائي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ّ.</w:t>
      </w:r>
    </w:p>
    <w:p w:rsidR="00000000" w:rsidDel="00000000" w:rsidP="00000000" w:rsidRDefault="00000000" w:rsidRPr="00000000" w14:paraId="00000038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color w:val="00b05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والأضحية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مستحب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تحمله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التضحية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والفداء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ترمز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الاستسلام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والانقياد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لأوامره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الأجر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بعدد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شعرها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وصوفها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فع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َ: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قلت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َ: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أبيكم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َ: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فالصوف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َ: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وف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ويشترط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الأضحي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الأنعام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البقر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الغنم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تصح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العجفاء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العمياء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مقطوعة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الأذن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المجنونة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مخها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اللحم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وأفضل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لذبح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الأضحية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صلاة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غروب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الشمس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ويمتد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غروب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شمس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الثالث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التشريق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والرابع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color w:val="ff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ويستحب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المضحي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يأكل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ويطعم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يعطى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للفقراء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يهدي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لقوله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﴿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ائ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﴾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[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الحج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:36].</w:t>
      </w:r>
    </w:p>
    <w:p w:rsidR="00000000" w:rsidDel="00000000" w:rsidP="00000000" w:rsidRDefault="00000000" w:rsidRPr="00000000" w14:paraId="0000003C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D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color w:val="ff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الأضحية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تذكرنا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ربه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أمره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يذبح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وتذكرنا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بطاعة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وكيف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انقياد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تردد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تكاسل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﴿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انظ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ؤ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ؤ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ظ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آخ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ؤ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ًّ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ظ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﴾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[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الصافات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rtl w:val="1"/>
        </w:rPr>
        <w:t xml:space="preserve">: 99-113].</w:t>
      </w:r>
    </w:p>
    <w:p w:rsidR="00000000" w:rsidDel="00000000" w:rsidP="00000000" w:rsidRDefault="00000000" w:rsidRPr="00000000" w14:paraId="0000003E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F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الصالحة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يتقرب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تبارك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المبارك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رحمه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فعن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عوف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تبارك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وأنا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خلقت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وشققت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وصلها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وصلته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قطعها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بت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الترمذي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يصلح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القطيعة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والشحناء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والبغضاء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لقوله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b050"/>
          <w:sz w:val="32"/>
          <w:szCs w:val="32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أخبركم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بأفضل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الصيام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والصدقة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والصلاة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قلنا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بلى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إصلاح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وفساد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الحالقة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الترمذي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الخطبة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200" w:line="276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spacing w:after="200" w:line="276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spacing w:after="200" w:line="276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وأشهد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وأشهد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سيدنا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ونبينا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النبيين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والمرسلين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أوصيكم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بتقوى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العظيم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وطاعته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46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المبارك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زيارة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وصلة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وتراحم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وتواصل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والأقارب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والجيران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والأصدقاء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أخلاق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الحميدة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دعا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القدسي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هريرة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القيامة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مرضت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تعدني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ّ،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أعودك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وأنت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علمت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عبدي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فلانا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مرض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تعده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علمت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أنك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عدته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لوجدتني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عنده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استطعمتك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تطعمني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وكيف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أطعمك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وأنت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علمت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استطعمك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عبدي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فلان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تطعمه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علمت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أنك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أطعمته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لوجدت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عندي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استسقيتك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تسقني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أسقيك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وأنت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استسقاك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عبدي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فلان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تسقه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إنك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سقيته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وجدت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عندي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مسلم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b05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200" w:line="276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مراعاة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النعمة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الكبرى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حبانا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نراعي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المبارك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مخالفة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أوامره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خصوصا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الأيام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اجتماع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وتزاور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وتراحم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فلنحرص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الوقوع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الغيبة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النميمة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الاختلاط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المحرم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الاطلاع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العورات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لسخط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والحرمان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نعمه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spacing w:after="200" w:line="276" w:lineRule="auto"/>
        <w:jc w:val="center"/>
        <w:rPr/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والحمد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plified Arabic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